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A7255" w14:textId="3882701E" w:rsidR="00855A9D" w:rsidRDefault="008C566E">
      <w:pPr>
        <w:spacing w:before="59"/>
        <w:ind w:left="3362"/>
        <w:jc w:val="both"/>
        <w:rPr>
          <w:rFonts w:ascii="Arial"/>
          <w:b/>
          <w:sz w:val="40"/>
        </w:rPr>
      </w:pPr>
      <w:r>
        <w:rPr>
          <w:noProof/>
        </w:rPr>
        <mc:AlternateContent>
          <mc:Choice Requires="wps">
            <w:drawing>
              <wp:anchor distT="0" distB="0" distL="0" distR="0" simplePos="0" relativeHeight="251658240" behindDoc="1" locked="0" layoutInCell="1" allowOverlap="1" wp14:anchorId="5CD4008C" wp14:editId="183EB3BF">
                <wp:simplePos x="0" y="0"/>
                <wp:positionH relativeFrom="page">
                  <wp:posOffset>2744470</wp:posOffset>
                </wp:positionH>
                <wp:positionV relativeFrom="paragraph">
                  <wp:posOffset>356235</wp:posOffset>
                </wp:positionV>
                <wp:extent cx="4360545"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60545" cy="1270"/>
                        </a:xfrm>
                        <a:custGeom>
                          <a:avLst/>
                          <a:gdLst>
                            <a:gd name="T0" fmla="+- 0 4322 4322"/>
                            <a:gd name="T1" fmla="*/ T0 w 6867"/>
                            <a:gd name="T2" fmla="+- 0 11189 4322"/>
                            <a:gd name="T3" fmla="*/ T2 w 6867"/>
                          </a:gdLst>
                          <a:ahLst/>
                          <a:cxnLst>
                            <a:cxn ang="0">
                              <a:pos x="T1" y="0"/>
                            </a:cxn>
                            <a:cxn ang="0">
                              <a:pos x="T3" y="0"/>
                            </a:cxn>
                          </a:cxnLst>
                          <a:rect l="0" t="0" r="r" b="b"/>
                          <a:pathLst>
                            <a:path w="6867">
                              <a:moveTo>
                                <a:pt x="0" y="0"/>
                              </a:moveTo>
                              <a:lnTo>
                                <a:pt x="6867" y="0"/>
                              </a:lnTo>
                            </a:path>
                          </a:pathLst>
                        </a:custGeom>
                        <a:noFill/>
                        <a:ln w="6096">
                          <a:solidFill>
                            <a:srgbClr val="53535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A556E" id="Freeform 2" o:spid="_x0000_s1026" style="position:absolute;margin-left:216.1pt;margin-top:28.05pt;width:343.3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" path="m,l6867,e" filled="f" strokecolor="#535353" strokeweight=".48pt">
                <v:path arrowok="t" o:connecttype="custom" o:connectlocs="0,0;4360545,0" o:connectangles="0,0"/>
                <w10:wrap type="topAndBottom" anchorx="page"/>
              </v:shape>
            </w:pict>
          </mc:Fallback>
        </mc:AlternateContent>
      </w:r>
      <w:r>
        <w:rPr>
          <w:noProof/>
        </w:rPr>
        <w:drawing>
          <wp:anchor distT="0" distB="0" distL="0" distR="0" simplePos="0" relativeHeight="251657216" behindDoc="1" locked="0" layoutInCell="1" allowOverlap="1" wp14:anchorId="4C25D3CD" wp14:editId="623B2A40">
            <wp:simplePos x="0" y="0"/>
            <wp:positionH relativeFrom="page">
              <wp:posOffset>719327</wp:posOffset>
            </wp:positionH>
            <wp:positionV relativeFrom="paragraph">
              <wp:posOffset>71583</wp:posOffset>
            </wp:positionV>
            <wp:extent cx="1889759" cy="118550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889759" cy="1185508"/>
                    </a:xfrm>
                    <a:prstGeom prst="rect">
                      <a:avLst/>
                    </a:prstGeom>
                  </pic:spPr>
                </pic:pic>
              </a:graphicData>
            </a:graphic>
          </wp:anchor>
        </w:drawing>
      </w:r>
      <w:r>
        <w:rPr>
          <w:rFonts w:ascii="Arial"/>
          <w:b/>
          <w:color w:val="535353"/>
          <w:sz w:val="40"/>
          <w:u w:val="single" w:color="535353"/>
        </w:rPr>
        <w:t>2020-2021 Benefits Enrollment</w:t>
      </w:r>
    </w:p>
    <w:p w14:paraId="3C70EA04" w14:textId="77777777" w:rsidR="00855A9D" w:rsidRDefault="008C566E" w:rsidP="008C566E">
      <w:pPr>
        <w:pStyle w:val="BodyText"/>
        <w:spacing w:before="241"/>
        <w:ind w:left="3391" w:right="136"/>
      </w:pPr>
      <w:r>
        <w:t>At The Neiders Company we know how important it is to have comprehensive, affordable health benefits. That’s why we offer competitive plans that can provide protection, peace of mind, and savings.</w:t>
      </w:r>
    </w:p>
    <w:p w14:paraId="52CE6BB3" w14:textId="77777777" w:rsidR="00855A9D" w:rsidRDefault="00855A9D" w:rsidP="008C566E">
      <w:pPr>
        <w:pStyle w:val="BodyText"/>
        <w:spacing w:before="6"/>
        <w:rPr>
          <w:sz w:val="17"/>
        </w:rPr>
      </w:pPr>
    </w:p>
    <w:p w14:paraId="5406A079" w14:textId="77777777" w:rsidR="00855A9D" w:rsidRDefault="008C566E" w:rsidP="008C566E">
      <w:pPr>
        <w:pStyle w:val="BodyText"/>
        <w:spacing w:before="56"/>
        <w:ind w:left="119" w:right="134" w:firstLine="3271"/>
      </w:pPr>
      <w:r>
        <w:t>It’s time for you to begin thinking about your 2020-21 ben</w:t>
      </w:r>
      <w:r>
        <w:t>efits choices. The Neiders</w:t>
      </w:r>
      <w:r>
        <w:rPr>
          <w:spacing w:val="-15"/>
        </w:rPr>
        <w:t xml:space="preserve"> </w:t>
      </w:r>
      <w:r>
        <w:t>Company</w:t>
      </w:r>
      <w:r>
        <w:rPr>
          <w:spacing w:val="-15"/>
        </w:rPr>
        <w:t xml:space="preserve"> </w:t>
      </w:r>
      <w:r>
        <w:t>conducts</w:t>
      </w:r>
      <w:r>
        <w:rPr>
          <w:spacing w:val="-16"/>
        </w:rPr>
        <w:t xml:space="preserve"> </w:t>
      </w:r>
      <w:r>
        <w:t>an</w:t>
      </w:r>
      <w:r>
        <w:rPr>
          <w:spacing w:val="-16"/>
        </w:rPr>
        <w:t xml:space="preserve"> </w:t>
      </w:r>
      <w:r>
        <w:t>annual</w:t>
      </w:r>
      <w:r>
        <w:rPr>
          <w:spacing w:val="-14"/>
        </w:rPr>
        <w:t xml:space="preserve"> </w:t>
      </w:r>
      <w:r>
        <w:t>Open</w:t>
      </w:r>
      <w:r>
        <w:rPr>
          <w:spacing w:val="-15"/>
        </w:rPr>
        <w:t xml:space="preserve"> </w:t>
      </w:r>
      <w:r>
        <w:t>Enrollment</w:t>
      </w:r>
      <w:r>
        <w:rPr>
          <w:spacing w:val="-14"/>
        </w:rPr>
        <w:t xml:space="preserve"> </w:t>
      </w:r>
      <w:r>
        <w:t>period</w:t>
      </w:r>
      <w:r>
        <w:rPr>
          <w:spacing w:val="-15"/>
        </w:rPr>
        <w:t xml:space="preserve"> </w:t>
      </w:r>
      <w:r>
        <w:t>during</w:t>
      </w:r>
      <w:r>
        <w:rPr>
          <w:spacing w:val="-15"/>
        </w:rPr>
        <w:t xml:space="preserve"> </w:t>
      </w:r>
      <w:r>
        <w:t>which</w:t>
      </w:r>
      <w:r>
        <w:rPr>
          <w:spacing w:val="-16"/>
        </w:rPr>
        <w:t xml:space="preserve"> </w:t>
      </w:r>
      <w:r>
        <w:t>benefits-eligible</w:t>
      </w:r>
      <w:r>
        <w:rPr>
          <w:spacing w:val="-13"/>
        </w:rPr>
        <w:t xml:space="preserve"> </w:t>
      </w:r>
      <w:r>
        <w:t>employees</w:t>
      </w:r>
      <w:r>
        <w:rPr>
          <w:spacing w:val="-14"/>
        </w:rPr>
        <w:t xml:space="preserve"> </w:t>
      </w:r>
      <w:r>
        <w:t>can</w:t>
      </w:r>
      <w:r>
        <w:rPr>
          <w:spacing w:val="-16"/>
        </w:rPr>
        <w:t xml:space="preserve"> </w:t>
      </w:r>
      <w:r>
        <w:t xml:space="preserve">enroll in, or make changes to, their benefits. Open enrollment for the 2020-21 plan year </w:t>
      </w:r>
      <w:r>
        <w:rPr>
          <w:b/>
        </w:rPr>
        <w:t>will begin on August 17, 2020 and end Septemb</w:t>
      </w:r>
      <w:r>
        <w:rPr>
          <w:b/>
        </w:rPr>
        <w:t>er 10,</w:t>
      </w:r>
      <w:r>
        <w:rPr>
          <w:b/>
          <w:spacing w:val="-3"/>
        </w:rPr>
        <w:t xml:space="preserve"> </w:t>
      </w:r>
      <w:r>
        <w:rPr>
          <w:b/>
        </w:rPr>
        <w:t>2020</w:t>
      </w:r>
      <w:r>
        <w:t>.</w:t>
      </w:r>
    </w:p>
    <w:p w14:paraId="1D4711C2" w14:textId="77777777" w:rsidR="00855A9D" w:rsidRDefault="00855A9D" w:rsidP="008C566E">
      <w:pPr>
        <w:pStyle w:val="BodyText"/>
        <w:spacing w:before="11"/>
        <w:rPr>
          <w:sz w:val="19"/>
        </w:rPr>
      </w:pPr>
    </w:p>
    <w:p w14:paraId="4A81041C" w14:textId="77777777" w:rsidR="00855A9D" w:rsidRDefault="008C566E" w:rsidP="008C566E">
      <w:pPr>
        <w:pStyle w:val="Heading1"/>
        <w:spacing w:before="1"/>
      </w:pPr>
      <w:r>
        <w:rPr>
          <w:color w:val="535353"/>
        </w:rPr>
        <w:t>Your Responsibilities During Open Enrollment</w:t>
      </w:r>
    </w:p>
    <w:p w14:paraId="52878EB2" w14:textId="77777777" w:rsidR="00855A9D" w:rsidRDefault="008C566E" w:rsidP="008C566E">
      <w:pPr>
        <w:pStyle w:val="BodyText"/>
        <w:ind w:left="120" w:right="135" w:hanging="1"/>
      </w:pPr>
      <w:r>
        <w:t>Your 2020-21 Benefits Guide will soon be available to help you navigate through the process and make the best choices for you and your family. It’s important to take time to review your current ben</w:t>
      </w:r>
      <w:r>
        <w:t>efits and determine whether they still meet the needs of you and your family or if you are interested in evaluating other options for next year.</w:t>
      </w:r>
    </w:p>
    <w:p w14:paraId="357A2B6A" w14:textId="77777777" w:rsidR="00855A9D" w:rsidRDefault="00855A9D" w:rsidP="008C566E">
      <w:pPr>
        <w:pStyle w:val="BodyText"/>
        <w:spacing w:before="1"/>
      </w:pPr>
    </w:p>
    <w:p w14:paraId="2AE058CD" w14:textId="77777777" w:rsidR="00855A9D" w:rsidRDefault="008C566E" w:rsidP="008C566E">
      <w:pPr>
        <w:ind w:left="120" w:right="135" w:hanging="1"/>
      </w:pPr>
      <w:r>
        <w:rPr>
          <w:b/>
        </w:rPr>
        <w:t>This Open Enrollment will be passive</w:t>
      </w:r>
      <w:r>
        <w:t>, meaning if you do not plan to make any changes all you need to do is log</w:t>
      </w:r>
      <w:r>
        <w:t xml:space="preserve"> on to Paychex, review your benefits and then complete.</w:t>
      </w:r>
    </w:p>
    <w:p w14:paraId="7BBB7B66" w14:textId="77777777" w:rsidR="00855A9D" w:rsidRDefault="00855A9D" w:rsidP="008C566E">
      <w:pPr>
        <w:pStyle w:val="BodyText"/>
        <w:spacing w:before="10"/>
        <w:rPr>
          <w:sz w:val="21"/>
        </w:rPr>
      </w:pPr>
    </w:p>
    <w:p w14:paraId="6279EA78" w14:textId="77777777" w:rsidR="00855A9D" w:rsidRDefault="008C566E" w:rsidP="008C566E">
      <w:pPr>
        <w:pStyle w:val="BodyText"/>
        <w:ind w:left="120" w:right="136" w:hanging="1"/>
      </w:pPr>
      <w:r>
        <w:rPr>
          <w:b/>
        </w:rPr>
        <w:t xml:space="preserve">NOTE: </w:t>
      </w:r>
      <w:r>
        <w:t>After Open Enrollment, you cannot make changes to your coverage during the year unless you experience a change in family status, such as:</w:t>
      </w:r>
    </w:p>
    <w:p w14:paraId="7A24E584" w14:textId="77777777" w:rsidR="00855A9D" w:rsidRDefault="008C566E" w:rsidP="008C566E">
      <w:pPr>
        <w:pStyle w:val="ListParagraph"/>
        <w:numPr>
          <w:ilvl w:val="0"/>
          <w:numId w:val="1"/>
        </w:numPr>
        <w:tabs>
          <w:tab w:val="left" w:pos="839"/>
          <w:tab w:val="left" w:pos="841"/>
        </w:tabs>
        <w:ind w:left="840" w:hanging="361"/>
      </w:pPr>
      <w:r>
        <w:t>Loss or gain of</w:t>
      </w:r>
      <w:r>
        <w:rPr>
          <w:spacing w:val="-8"/>
        </w:rPr>
        <w:t xml:space="preserve"> </w:t>
      </w:r>
      <w:r>
        <w:t>coverage</w:t>
      </w:r>
    </w:p>
    <w:p w14:paraId="7485F6AE" w14:textId="77777777" w:rsidR="00855A9D" w:rsidRDefault="008C566E" w:rsidP="008C566E">
      <w:pPr>
        <w:pStyle w:val="ListParagraph"/>
        <w:numPr>
          <w:ilvl w:val="0"/>
          <w:numId w:val="1"/>
        </w:numPr>
        <w:tabs>
          <w:tab w:val="left" w:pos="839"/>
          <w:tab w:val="left" w:pos="841"/>
        </w:tabs>
        <w:ind w:left="840" w:hanging="361"/>
      </w:pPr>
      <w:r>
        <w:t>Loss of eligibility of a covered</w:t>
      </w:r>
      <w:r>
        <w:rPr>
          <w:spacing w:val="-9"/>
        </w:rPr>
        <w:t xml:space="preserve"> </w:t>
      </w:r>
      <w:r>
        <w:t>dependent</w:t>
      </w:r>
    </w:p>
    <w:p w14:paraId="5255699F" w14:textId="77777777" w:rsidR="00855A9D" w:rsidRDefault="008C566E" w:rsidP="008C566E">
      <w:pPr>
        <w:pStyle w:val="ListParagraph"/>
        <w:numPr>
          <w:ilvl w:val="0"/>
          <w:numId w:val="1"/>
        </w:numPr>
        <w:tabs>
          <w:tab w:val="left" w:pos="839"/>
          <w:tab w:val="left" w:pos="841"/>
        </w:tabs>
        <w:spacing w:before="0" w:line="279" w:lineRule="exact"/>
        <w:ind w:left="840" w:hanging="361"/>
      </w:pPr>
      <w:r>
        <w:t>Death of your covered spouse or</w:t>
      </w:r>
      <w:r>
        <w:rPr>
          <w:spacing w:val="-8"/>
        </w:rPr>
        <w:t xml:space="preserve"> </w:t>
      </w:r>
      <w:r>
        <w:t>child</w:t>
      </w:r>
    </w:p>
    <w:p w14:paraId="31C1CEB5" w14:textId="77777777" w:rsidR="00855A9D" w:rsidRDefault="008C566E" w:rsidP="008C566E">
      <w:pPr>
        <w:pStyle w:val="ListParagraph"/>
        <w:numPr>
          <w:ilvl w:val="0"/>
          <w:numId w:val="1"/>
        </w:numPr>
        <w:tabs>
          <w:tab w:val="left" w:pos="839"/>
          <w:tab w:val="left" w:pos="841"/>
        </w:tabs>
        <w:spacing w:before="0" w:line="279" w:lineRule="exact"/>
        <w:ind w:left="840" w:hanging="361"/>
      </w:pPr>
      <w:r>
        <w:t>Birth or adoption of a</w:t>
      </w:r>
      <w:r>
        <w:rPr>
          <w:spacing w:val="-6"/>
        </w:rPr>
        <w:t xml:space="preserve"> </w:t>
      </w:r>
      <w:r>
        <w:t>child</w:t>
      </w:r>
    </w:p>
    <w:p w14:paraId="7323B657" w14:textId="77777777" w:rsidR="00855A9D" w:rsidRDefault="008C566E" w:rsidP="008C566E">
      <w:pPr>
        <w:pStyle w:val="ListParagraph"/>
        <w:numPr>
          <w:ilvl w:val="0"/>
          <w:numId w:val="1"/>
        </w:numPr>
        <w:tabs>
          <w:tab w:val="left" w:pos="839"/>
          <w:tab w:val="left" w:pos="841"/>
        </w:tabs>
        <w:ind w:left="840" w:hanging="361"/>
      </w:pPr>
      <w:r>
        <w:t>Marriage, divorce or legal</w:t>
      </w:r>
      <w:r>
        <w:rPr>
          <w:spacing w:val="-2"/>
        </w:rPr>
        <w:t xml:space="preserve"> </w:t>
      </w:r>
      <w:r>
        <w:t>separation</w:t>
      </w:r>
    </w:p>
    <w:p w14:paraId="3C171779" w14:textId="77777777" w:rsidR="00855A9D" w:rsidRDefault="008C566E" w:rsidP="008C566E">
      <w:pPr>
        <w:pStyle w:val="ListParagraph"/>
        <w:numPr>
          <w:ilvl w:val="0"/>
          <w:numId w:val="1"/>
        </w:numPr>
        <w:tabs>
          <w:tab w:val="left" w:pos="839"/>
          <w:tab w:val="left" w:pos="841"/>
        </w:tabs>
        <w:spacing w:before="0"/>
        <w:ind w:left="840" w:hanging="361"/>
      </w:pPr>
      <w:r>
        <w:t>Switch from part-time employment to full-time</w:t>
      </w:r>
      <w:r>
        <w:rPr>
          <w:spacing w:val="-7"/>
        </w:rPr>
        <w:t xml:space="preserve"> </w:t>
      </w:r>
      <w:r>
        <w:t>employment</w:t>
      </w:r>
    </w:p>
    <w:p w14:paraId="5CEC5E23" w14:textId="77777777" w:rsidR="00855A9D" w:rsidRDefault="00855A9D" w:rsidP="008C566E">
      <w:pPr>
        <w:pStyle w:val="BodyText"/>
      </w:pPr>
    </w:p>
    <w:p w14:paraId="72E4551B" w14:textId="77777777" w:rsidR="00855A9D" w:rsidRDefault="008C566E" w:rsidP="008C566E">
      <w:pPr>
        <w:spacing w:before="1"/>
        <w:ind w:left="120"/>
      </w:pPr>
      <w:r>
        <w:t xml:space="preserve">You have </w:t>
      </w:r>
      <w:r>
        <w:rPr>
          <w:b/>
        </w:rPr>
        <w:t xml:space="preserve">30 days from a change </w:t>
      </w:r>
      <w:r>
        <w:t>in family status to make changes to your current coverage.</w:t>
      </w:r>
    </w:p>
    <w:p w14:paraId="3CA1D855" w14:textId="77777777" w:rsidR="00855A9D" w:rsidRDefault="00855A9D" w:rsidP="008C566E">
      <w:pPr>
        <w:pStyle w:val="BodyText"/>
        <w:spacing w:before="2"/>
      </w:pPr>
    </w:p>
    <w:p w14:paraId="27F50188" w14:textId="77777777" w:rsidR="00855A9D" w:rsidRDefault="008C566E" w:rsidP="008C566E">
      <w:pPr>
        <w:pStyle w:val="BodyText"/>
        <w:spacing w:line="237" w:lineRule="auto"/>
        <w:ind w:left="120" w:right="136"/>
      </w:pPr>
      <w:r>
        <w:t>Yo</w:t>
      </w:r>
      <w:r>
        <w:t>u must elect your benefits during the 2020-21 Open enrollment period for coverage effective October 1, 2020 through September 30, 2021.</w:t>
      </w:r>
    </w:p>
    <w:p w14:paraId="7D489146" w14:textId="77777777" w:rsidR="00855A9D" w:rsidRDefault="00855A9D" w:rsidP="008C566E">
      <w:pPr>
        <w:pStyle w:val="BodyText"/>
        <w:spacing w:before="2"/>
      </w:pPr>
    </w:p>
    <w:p w14:paraId="63FA2696" w14:textId="77777777" w:rsidR="00855A9D" w:rsidRDefault="008C566E" w:rsidP="008C566E">
      <w:pPr>
        <w:pStyle w:val="Heading2"/>
        <w:jc w:val="left"/>
      </w:pPr>
      <w:r>
        <w:rPr>
          <w:u w:val="single"/>
        </w:rPr>
        <w:t>WHAT PLANS ARE OFFERED FOR 2020?</w:t>
      </w:r>
    </w:p>
    <w:p w14:paraId="0EA72196" w14:textId="77777777" w:rsidR="00855A9D" w:rsidRDefault="008C566E" w:rsidP="008C566E">
      <w:pPr>
        <w:pStyle w:val="BodyText"/>
        <w:ind w:left="119" w:right="425"/>
      </w:pPr>
      <w:r>
        <w:t>Our Medical and Dental coverage will continue through Cigna. Voluntary Vision and Long</w:t>
      </w:r>
      <w:r>
        <w:t>-Term Disability coverage will be available through Reliance Standard. Voluntary plans are also available through Colonial Life.</w:t>
      </w:r>
    </w:p>
    <w:p w14:paraId="3CC029D8" w14:textId="77777777" w:rsidR="00855A9D" w:rsidRDefault="00855A9D" w:rsidP="008C566E">
      <w:pPr>
        <w:pStyle w:val="BodyText"/>
        <w:spacing w:before="1"/>
      </w:pPr>
    </w:p>
    <w:p w14:paraId="33121FB5" w14:textId="77777777" w:rsidR="00855A9D" w:rsidRPr="008C566E" w:rsidRDefault="008C566E" w:rsidP="008C566E">
      <w:pPr>
        <w:pStyle w:val="Heading1"/>
        <w:rPr>
          <w:color w:val="000000" w:themeColor="text1"/>
        </w:rPr>
      </w:pPr>
      <w:r w:rsidRPr="008C566E">
        <w:rPr>
          <w:color w:val="000000" w:themeColor="text1"/>
        </w:rPr>
        <w:t>Medical</w:t>
      </w:r>
    </w:p>
    <w:p w14:paraId="59572D3B" w14:textId="77777777" w:rsidR="00855A9D" w:rsidRDefault="008C566E" w:rsidP="008C566E">
      <w:pPr>
        <w:pStyle w:val="BodyText"/>
        <w:ind w:left="119" w:right="419"/>
      </w:pPr>
      <w:r>
        <w:t>The Neiders Company will offer two Medical Plans with Cigna. Both plans are Preferred Provider Organization (PPO) Medi</w:t>
      </w:r>
      <w:r>
        <w:t>cal Plans and include pharmacy benefits.</w:t>
      </w:r>
    </w:p>
    <w:p w14:paraId="006F1F68" w14:textId="77777777" w:rsidR="00855A9D" w:rsidRDefault="008C566E" w:rsidP="008C566E">
      <w:pPr>
        <w:pStyle w:val="ListParagraph"/>
        <w:numPr>
          <w:ilvl w:val="0"/>
          <w:numId w:val="1"/>
        </w:numPr>
        <w:tabs>
          <w:tab w:val="left" w:pos="839"/>
          <w:tab w:val="left" w:pos="840"/>
        </w:tabs>
        <w:ind w:right="326"/>
        <w:rPr>
          <w:b/>
        </w:rPr>
      </w:pPr>
      <w:r>
        <w:t xml:space="preserve">The </w:t>
      </w:r>
      <w:r>
        <w:rPr>
          <w:b/>
        </w:rPr>
        <w:t xml:space="preserve">Base Medical Plan </w:t>
      </w:r>
      <w:r>
        <w:t>has an in-network deductible of $5,000 individual/ $10,000 family and a $7,150 individual/ $14,300 family in-network Out of Pocket Maximum. Your coinsurance is 20% on select services, after your deductible has been satisfied. Your copayment for office visi</w:t>
      </w:r>
      <w:r>
        <w:t xml:space="preserve">ts is $30 with either a primary physician or specialist. </w:t>
      </w:r>
      <w:r>
        <w:rPr>
          <w:b/>
        </w:rPr>
        <w:t>Telehealth copays have been reduced from a $15 to</w:t>
      </w:r>
      <w:r>
        <w:rPr>
          <w:b/>
          <w:spacing w:val="-20"/>
        </w:rPr>
        <w:t xml:space="preserve"> </w:t>
      </w:r>
      <w:r>
        <w:rPr>
          <w:b/>
        </w:rPr>
        <w:t>$10!</w:t>
      </w:r>
    </w:p>
    <w:p w14:paraId="42148CA2" w14:textId="77777777" w:rsidR="00855A9D" w:rsidRDefault="008C566E" w:rsidP="008C566E">
      <w:pPr>
        <w:pStyle w:val="ListParagraph"/>
        <w:numPr>
          <w:ilvl w:val="0"/>
          <w:numId w:val="1"/>
        </w:numPr>
        <w:tabs>
          <w:tab w:val="left" w:pos="839"/>
          <w:tab w:val="left" w:pos="840"/>
        </w:tabs>
        <w:spacing w:before="0"/>
        <w:ind w:right="191"/>
        <w:rPr>
          <w:b/>
        </w:rPr>
      </w:pPr>
      <w:r>
        <w:t xml:space="preserve">The </w:t>
      </w:r>
      <w:r>
        <w:rPr>
          <w:b/>
        </w:rPr>
        <w:t xml:space="preserve">Buy-Up Medical Plan </w:t>
      </w:r>
      <w:r>
        <w:t xml:space="preserve">has an in-network deductible of $3,000 individual/ $6,000 family and a $7,150 individual/ $14,300 family in-network Out </w:t>
      </w:r>
      <w:r>
        <w:t xml:space="preserve">of Pocket Maximum. Your coinsurance is 10% on select services, after your deductible has been satisfied. Your copayment for office visits is $20 for a primary care physician and $30 for a specialist. </w:t>
      </w:r>
      <w:r>
        <w:rPr>
          <w:b/>
        </w:rPr>
        <w:t>Telehealth copays have been reduced from $10 to</w:t>
      </w:r>
      <w:r>
        <w:rPr>
          <w:b/>
          <w:spacing w:val="-20"/>
        </w:rPr>
        <w:t xml:space="preserve"> </w:t>
      </w:r>
      <w:r>
        <w:rPr>
          <w:b/>
        </w:rPr>
        <w:t>$5!</w:t>
      </w:r>
    </w:p>
    <w:p w14:paraId="2963F101" w14:textId="77777777" w:rsidR="00855A9D" w:rsidRDefault="00855A9D" w:rsidP="008C566E">
      <w:pPr>
        <w:sectPr w:rsidR="00855A9D">
          <w:footerReference w:type="default" r:id="rId11"/>
          <w:type w:val="continuous"/>
          <w:pgSz w:w="12240" w:h="15840"/>
          <w:pgMar w:top="1020" w:right="940" w:bottom="680" w:left="960" w:header="720" w:footer="481" w:gutter="0"/>
          <w:pgNumType w:start="1"/>
          <w:cols w:space="720"/>
        </w:sectPr>
      </w:pPr>
    </w:p>
    <w:p w14:paraId="7A21839C" w14:textId="77777777" w:rsidR="00855A9D" w:rsidRPr="008C566E" w:rsidRDefault="008C566E" w:rsidP="008C566E">
      <w:pPr>
        <w:pStyle w:val="Heading1"/>
        <w:spacing w:before="28"/>
        <w:rPr>
          <w:color w:val="000000" w:themeColor="text1"/>
        </w:rPr>
      </w:pPr>
      <w:r w:rsidRPr="008C566E">
        <w:rPr>
          <w:color w:val="000000" w:themeColor="text1"/>
        </w:rPr>
        <w:lastRenderedPageBreak/>
        <w:t>Dental</w:t>
      </w:r>
    </w:p>
    <w:p w14:paraId="72C2E61D" w14:textId="77777777" w:rsidR="00855A9D" w:rsidRDefault="008C566E" w:rsidP="008C566E">
      <w:pPr>
        <w:pStyle w:val="BodyText"/>
        <w:ind w:left="119" w:right="709"/>
      </w:pPr>
      <w:r>
        <w:t>The Neiders Company will offer two Dental plans through the Preferred Provider Organization (PPO) Cigna Dental Network</w:t>
      </w:r>
    </w:p>
    <w:p w14:paraId="3A02DCD9" w14:textId="269EB6EA" w:rsidR="00855A9D" w:rsidRDefault="008C566E" w:rsidP="008C566E">
      <w:pPr>
        <w:pStyle w:val="ListParagraph"/>
        <w:numPr>
          <w:ilvl w:val="0"/>
          <w:numId w:val="1"/>
        </w:numPr>
        <w:tabs>
          <w:tab w:val="left" w:pos="839"/>
          <w:tab w:val="left" w:pos="840"/>
        </w:tabs>
        <w:spacing w:before="3" w:line="237" w:lineRule="auto"/>
        <w:ind w:left="840" w:right="355"/>
      </w:pPr>
      <w:r>
        <w:t xml:space="preserve">The </w:t>
      </w:r>
      <w:r>
        <w:rPr>
          <w:b/>
        </w:rPr>
        <w:t xml:space="preserve">Basic Dental </w:t>
      </w:r>
      <w:r>
        <w:t>plan has no annual deductible and the annual benefit maximum per person has been increased to $1,500 per calendar</w:t>
      </w:r>
      <w:r>
        <w:rPr>
          <w:spacing w:val="-1"/>
        </w:rPr>
        <w:t xml:space="preserve"> </w:t>
      </w:r>
      <w:r>
        <w:t>year. (New)</w:t>
      </w:r>
    </w:p>
    <w:p w14:paraId="1ADF437B" w14:textId="5AD2EB76" w:rsidR="00855A9D" w:rsidRDefault="008C566E" w:rsidP="008C566E">
      <w:pPr>
        <w:pStyle w:val="ListParagraph"/>
        <w:numPr>
          <w:ilvl w:val="0"/>
          <w:numId w:val="1"/>
        </w:numPr>
        <w:tabs>
          <w:tab w:val="left" w:pos="839"/>
          <w:tab w:val="left" w:pos="840"/>
        </w:tabs>
        <w:ind w:left="840" w:right="166" w:hanging="361"/>
      </w:pPr>
      <w:r>
        <w:t xml:space="preserve">The </w:t>
      </w:r>
      <w:r>
        <w:rPr>
          <w:b/>
        </w:rPr>
        <w:t xml:space="preserve">Buy Up Dental </w:t>
      </w:r>
      <w:r>
        <w:t>plan has no annual deductible and the annual benefit maximum per person has been increased to $2,000 per calendar</w:t>
      </w:r>
      <w:r>
        <w:rPr>
          <w:spacing w:val="-1"/>
        </w:rPr>
        <w:t xml:space="preserve"> </w:t>
      </w:r>
      <w:r>
        <w:t>year</w:t>
      </w:r>
      <w:r>
        <w:t>. (New)</w:t>
      </w:r>
    </w:p>
    <w:p w14:paraId="022C8693" w14:textId="77777777" w:rsidR="00855A9D" w:rsidRPr="008C566E" w:rsidRDefault="008C566E" w:rsidP="008C566E">
      <w:pPr>
        <w:pStyle w:val="Heading1"/>
        <w:spacing w:before="195"/>
        <w:rPr>
          <w:color w:val="000000" w:themeColor="text1"/>
        </w:rPr>
      </w:pPr>
      <w:r w:rsidRPr="008C566E">
        <w:rPr>
          <w:color w:val="000000" w:themeColor="text1"/>
        </w:rPr>
        <w:t>Voluntary Vision</w:t>
      </w:r>
    </w:p>
    <w:p w14:paraId="0133746C" w14:textId="77777777" w:rsidR="00855A9D" w:rsidRDefault="008C566E" w:rsidP="008C566E">
      <w:pPr>
        <w:pStyle w:val="BodyText"/>
        <w:ind w:left="119"/>
      </w:pPr>
      <w:r>
        <w:t>Vision is offered through Reliance Standard</w:t>
      </w:r>
    </w:p>
    <w:p w14:paraId="2E05FD7F" w14:textId="77777777" w:rsidR="00855A9D" w:rsidRDefault="008C566E" w:rsidP="008C566E">
      <w:pPr>
        <w:pStyle w:val="ListParagraph"/>
        <w:numPr>
          <w:ilvl w:val="0"/>
          <w:numId w:val="1"/>
        </w:numPr>
        <w:tabs>
          <w:tab w:val="left" w:pos="839"/>
          <w:tab w:val="left" w:pos="840"/>
        </w:tabs>
        <w:ind w:left="840" w:hanging="361"/>
      </w:pPr>
      <w:r>
        <w:t>No copays on exams once every 12</w:t>
      </w:r>
      <w:r>
        <w:rPr>
          <w:spacing w:val="-11"/>
        </w:rPr>
        <w:t xml:space="preserve"> </w:t>
      </w:r>
      <w:r>
        <w:t>months.</w:t>
      </w:r>
    </w:p>
    <w:p w14:paraId="36DACCB2" w14:textId="77777777" w:rsidR="00855A9D" w:rsidRDefault="008C566E" w:rsidP="008C566E">
      <w:pPr>
        <w:pStyle w:val="ListParagraph"/>
        <w:numPr>
          <w:ilvl w:val="0"/>
          <w:numId w:val="1"/>
        </w:numPr>
        <w:tabs>
          <w:tab w:val="left" w:pos="839"/>
          <w:tab w:val="left" w:pos="840"/>
        </w:tabs>
        <w:spacing w:before="0"/>
        <w:ind w:right="403"/>
      </w:pPr>
      <w:r>
        <w:t>Hardware/frames or contacts covered at 100% up to $180 once every calendar year for hardware and every 24 months for</w:t>
      </w:r>
      <w:r>
        <w:rPr>
          <w:spacing w:val="-2"/>
        </w:rPr>
        <w:t xml:space="preserve"> </w:t>
      </w:r>
      <w:r>
        <w:t>frames.</w:t>
      </w:r>
    </w:p>
    <w:p w14:paraId="02EB8E04" w14:textId="77777777" w:rsidR="00855A9D" w:rsidRDefault="00855A9D" w:rsidP="008C566E">
      <w:pPr>
        <w:pStyle w:val="BodyText"/>
        <w:spacing w:before="1"/>
      </w:pPr>
    </w:p>
    <w:p w14:paraId="21B3D3DF" w14:textId="77777777" w:rsidR="00855A9D" w:rsidRPr="008C566E" w:rsidRDefault="008C566E" w:rsidP="008C566E">
      <w:pPr>
        <w:pStyle w:val="Heading1"/>
        <w:rPr>
          <w:color w:val="000000" w:themeColor="text1"/>
        </w:rPr>
      </w:pPr>
      <w:r w:rsidRPr="008C566E">
        <w:rPr>
          <w:color w:val="000000" w:themeColor="text1"/>
        </w:rPr>
        <w:t>Long Term Disability Insur</w:t>
      </w:r>
      <w:r w:rsidRPr="008C566E">
        <w:rPr>
          <w:color w:val="000000" w:themeColor="text1"/>
        </w:rPr>
        <w:t>ance</w:t>
      </w:r>
    </w:p>
    <w:p w14:paraId="0AD3D022" w14:textId="77777777" w:rsidR="00855A9D" w:rsidRDefault="008C566E" w:rsidP="008C566E">
      <w:pPr>
        <w:pStyle w:val="BodyText"/>
        <w:ind w:left="119" w:right="173"/>
      </w:pPr>
      <w:r>
        <w:t>The Neiders Company offers long-term income protection through Reliance Standard Insurance Company in the event you become unable to work due to a non-work-related illness or injury. Benefits begin after 90 days of disability with a monthly Benefit of</w:t>
      </w:r>
      <w:r>
        <w:t xml:space="preserve"> 50% of your monthly base salary and a maximum Benefit of up to $4,000 per month.</w:t>
      </w:r>
    </w:p>
    <w:p w14:paraId="7AE462B8" w14:textId="77777777" w:rsidR="00855A9D" w:rsidRDefault="00855A9D" w:rsidP="008C566E">
      <w:pPr>
        <w:pStyle w:val="BodyText"/>
        <w:spacing w:before="11"/>
        <w:rPr>
          <w:sz w:val="21"/>
        </w:rPr>
      </w:pPr>
    </w:p>
    <w:p w14:paraId="26AC19CB" w14:textId="77777777" w:rsidR="00855A9D" w:rsidRPr="008C566E" w:rsidRDefault="008C566E" w:rsidP="008C566E">
      <w:pPr>
        <w:pStyle w:val="Heading1"/>
        <w:rPr>
          <w:color w:val="000000" w:themeColor="text1"/>
        </w:rPr>
      </w:pPr>
      <w:r w:rsidRPr="008C566E">
        <w:rPr>
          <w:color w:val="000000" w:themeColor="text1"/>
        </w:rPr>
        <w:t>Colonial Insurance</w:t>
      </w:r>
    </w:p>
    <w:p w14:paraId="3366386B" w14:textId="77777777" w:rsidR="00855A9D" w:rsidRDefault="008C566E" w:rsidP="008C566E">
      <w:pPr>
        <w:pStyle w:val="BodyText"/>
        <w:ind w:left="119"/>
      </w:pPr>
      <w:r>
        <w:t>Voluntary plans: Life Insurance, Short-Term Disability, Cancer, Accident, Critical Illness, and Hospital Indemnity.</w:t>
      </w:r>
    </w:p>
    <w:p w14:paraId="738F3922" w14:textId="77777777" w:rsidR="00855A9D" w:rsidRDefault="00855A9D" w:rsidP="008C566E">
      <w:pPr>
        <w:pStyle w:val="BodyText"/>
        <w:spacing w:before="1"/>
      </w:pPr>
    </w:p>
    <w:p w14:paraId="588FCC81" w14:textId="77777777" w:rsidR="00855A9D" w:rsidRPr="008C566E" w:rsidRDefault="008C566E" w:rsidP="008C566E">
      <w:pPr>
        <w:pStyle w:val="Heading1"/>
        <w:rPr>
          <w:color w:val="000000" w:themeColor="text1"/>
        </w:rPr>
      </w:pPr>
      <w:r w:rsidRPr="008C566E">
        <w:rPr>
          <w:color w:val="000000" w:themeColor="text1"/>
        </w:rPr>
        <w:t>Where to Find More Information</w:t>
      </w:r>
    </w:p>
    <w:p w14:paraId="1FA55425" w14:textId="77777777" w:rsidR="00855A9D" w:rsidRDefault="008C566E" w:rsidP="008C566E">
      <w:pPr>
        <w:pStyle w:val="BodyText"/>
        <w:ind w:left="119"/>
      </w:pPr>
      <w:r>
        <w:t>More i</w:t>
      </w:r>
      <w:r>
        <w:t>nformation about our benefit plans is included in the Employee Benefits Guide and carrier summaries.</w:t>
      </w:r>
    </w:p>
    <w:p w14:paraId="2499DCC5" w14:textId="77777777" w:rsidR="00855A9D" w:rsidRDefault="00855A9D" w:rsidP="008C566E">
      <w:pPr>
        <w:pStyle w:val="BodyText"/>
      </w:pPr>
    </w:p>
    <w:p w14:paraId="3DB7366D" w14:textId="77777777" w:rsidR="00855A9D" w:rsidRPr="008C566E" w:rsidRDefault="008C566E" w:rsidP="008C566E">
      <w:pPr>
        <w:pStyle w:val="Heading1"/>
        <w:rPr>
          <w:color w:val="000000" w:themeColor="text1"/>
        </w:rPr>
      </w:pPr>
      <w:r w:rsidRPr="008C566E">
        <w:rPr>
          <w:color w:val="000000" w:themeColor="text1"/>
        </w:rPr>
        <w:t>USI Mobile App</w:t>
      </w:r>
    </w:p>
    <w:p w14:paraId="38AFCAAA" w14:textId="77777777" w:rsidR="00855A9D" w:rsidRDefault="008C566E" w:rsidP="008C566E">
      <w:pPr>
        <w:pStyle w:val="BodyText"/>
        <w:ind w:left="119" w:right="135"/>
        <w:rPr>
          <w:b/>
        </w:rPr>
      </w:pPr>
      <w:r>
        <w:t>The</w:t>
      </w:r>
      <w:r>
        <w:rPr>
          <w:spacing w:val="-13"/>
        </w:rPr>
        <w:t xml:space="preserve"> </w:t>
      </w:r>
      <w:r>
        <w:t>Neiders</w:t>
      </w:r>
      <w:r>
        <w:rPr>
          <w:spacing w:val="-13"/>
        </w:rPr>
        <w:t xml:space="preserve"> </w:t>
      </w:r>
      <w:r>
        <w:t>Company</w:t>
      </w:r>
      <w:r>
        <w:rPr>
          <w:spacing w:val="-13"/>
        </w:rPr>
        <w:t xml:space="preserve"> </w:t>
      </w:r>
      <w:r>
        <w:t>is</w:t>
      </w:r>
      <w:r>
        <w:rPr>
          <w:spacing w:val="-13"/>
        </w:rPr>
        <w:t xml:space="preserve"> </w:t>
      </w:r>
      <w:r>
        <w:t>pleased</w:t>
      </w:r>
      <w:r>
        <w:rPr>
          <w:spacing w:val="-14"/>
        </w:rPr>
        <w:t xml:space="preserve"> </w:t>
      </w:r>
      <w:r>
        <w:t>to</w:t>
      </w:r>
      <w:r>
        <w:rPr>
          <w:spacing w:val="-13"/>
        </w:rPr>
        <w:t xml:space="preserve"> </w:t>
      </w:r>
      <w:r>
        <w:t>provide</w:t>
      </w:r>
      <w:r>
        <w:rPr>
          <w:spacing w:val="-12"/>
        </w:rPr>
        <w:t xml:space="preserve"> </w:t>
      </w:r>
      <w:r>
        <w:t>a</w:t>
      </w:r>
      <w:r>
        <w:rPr>
          <w:spacing w:val="-13"/>
        </w:rPr>
        <w:t xml:space="preserve"> </w:t>
      </w:r>
      <w:r>
        <w:t>quick</w:t>
      </w:r>
      <w:r>
        <w:rPr>
          <w:spacing w:val="-13"/>
        </w:rPr>
        <w:t xml:space="preserve"> </w:t>
      </w:r>
      <w:r>
        <w:t>and</w:t>
      </w:r>
      <w:r>
        <w:rPr>
          <w:spacing w:val="-16"/>
        </w:rPr>
        <w:t xml:space="preserve"> </w:t>
      </w:r>
      <w:r>
        <w:t>simple</w:t>
      </w:r>
      <w:r>
        <w:rPr>
          <w:spacing w:val="-12"/>
        </w:rPr>
        <w:t xml:space="preserve"> </w:t>
      </w:r>
      <w:r>
        <w:t>way</w:t>
      </w:r>
      <w:r>
        <w:rPr>
          <w:spacing w:val="-13"/>
        </w:rPr>
        <w:t xml:space="preserve"> </w:t>
      </w:r>
      <w:r>
        <w:t>for</w:t>
      </w:r>
      <w:r>
        <w:rPr>
          <w:spacing w:val="-13"/>
        </w:rPr>
        <w:t xml:space="preserve"> </w:t>
      </w:r>
      <w:r>
        <w:t>you</w:t>
      </w:r>
      <w:r>
        <w:rPr>
          <w:spacing w:val="-14"/>
        </w:rPr>
        <w:t xml:space="preserve"> </w:t>
      </w:r>
      <w:r>
        <w:t>and</w:t>
      </w:r>
      <w:r>
        <w:rPr>
          <w:spacing w:val="-15"/>
        </w:rPr>
        <w:t xml:space="preserve"> </w:t>
      </w:r>
      <w:r>
        <w:t>your</w:t>
      </w:r>
      <w:r>
        <w:rPr>
          <w:spacing w:val="-13"/>
        </w:rPr>
        <w:t xml:space="preserve"> </w:t>
      </w:r>
      <w:r>
        <w:t>enrolled</w:t>
      </w:r>
      <w:r>
        <w:rPr>
          <w:spacing w:val="-14"/>
        </w:rPr>
        <w:t xml:space="preserve"> </w:t>
      </w:r>
      <w:r>
        <w:t>dependents</w:t>
      </w:r>
      <w:r>
        <w:rPr>
          <w:spacing w:val="-14"/>
        </w:rPr>
        <w:t xml:space="preserve"> </w:t>
      </w:r>
      <w:r>
        <w:t>to</w:t>
      </w:r>
      <w:r>
        <w:rPr>
          <w:spacing w:val="-12"/>
        </w:rPr>
        <w:t xml:space="preserve"> </w:t>
      </w:r>
      <w:r>
        <w:t>access benefit summaries and other important information about our group plans through the USI Mobile App. The app offers the ability to take photos of ID cards to access from the app, as well as easily locate carrier and HR contact information – all in on</w:t>
      </w:r>
      <w:r>
        <w:t xml:space="preserve">e place – 24/7 and on the go. The </w:t>
      </w:r>
      <w:r>
        <w:rPr>
          <w:b/>
        </w:rPr>
        <w:t xml:space="preserve">USIeb app </w:t>
      </w:r>
      <w:r>
        <w:t xml:space="preserve">is free and available for iPhone and Android platforms. Download the app today from your smartphone. Scroll through the intro pages and when prompted, enter </w:t>
      </w:r>
      <w:r>
        <w:rPr>
          <w:b/>
        </w:rPr>
        <w:t>the code 192238 to see your plan</w:t>
      </w:r>
      <w:r>
        <w:rPr>
          <w:b/>
          <w:spacing w:val="-6"/>
        </w:rPr>
        <w:t xml:space="preserve"> </w:t>
      </w:r>
      <w:r>
        <w:rPr>
          <w:b/>
        </w:rPr>
        <w:t>information.</w:t>
      </w:r>
    </w:p>
    <w:p w14:paraId="4AFEB825" w14:textId="77777777" w:rsidR="00855A9D" w:rsidRDefault="00855A9D" w:rsidP="008C566E">
      <w:pPr>
        <w:pStyle w:val="BodyText"/>
        <w:spacing w:before="12"/>
        <w:rPr>
          <w:b/>
          <w:sz w:val="21"/>
        </w:rPr>
      </w:pPr>
    </w:p>
    <w:p w14:paraId="28EB3BDC" w14:textId="77777777" w:rsidR="00855A9D" w:rsidRPr="008C566E" w:rsidRDefault="008C566E" w:rsidP="008C566E">
      <w:pPr>
        <w:pStyle w:val="Heading1"/>
        <w:rPr>
          <w:color w:val="000000" w:themeColor="text1"/>
        </w:rPr>
      </w:pPr>
      <w:r w:rsidRPr="008C566E">
        <w:rPr>
          <w:color w:val="000000" w:themeColor="text1"/>
        </w:rPr>
        <w:t xml:space="preserve">Benefit </w:t>
      </w:r>
      <w:r w:rsidRPr="008C566E">
        <w:rPr>
          <w:color w:val="000000" w:themeColor="text1"/>
        </w:rPr>
        <w:t>Resource Center</w:t>
      </w:r>
    </w:p>
    <w:p w14:paraId="63642749" w14:textId="77777777" w:rsidR="00855A9D" w:rsidRDefault="008C566E" w:rsidP="008C566E">
      <w:pPr>
        <w:pStyle w:val="BodyText"/>
        <w:ind w:left="119" w:right="135"/>
      </w:pPr>
      <w:r>
        <w:t xml:space="preserve">We encourage you to contact the </w:t>
      </w:r>
      <w:r>
        <w:rPr>
          <w:b/>
        </w:rPr>
        <w:t>USI Benefit Resource Center (BRC) Team</w:t>
      </w:r>
      <w:r>
        <w:t>. The Benefit Specialists at USI are experienced professionals and their primary responsibility is to assist you! They can answer many of the benefits questions you have,</w:t>
      </w:r>
      <w:r>
        <w:t xml:space="preserve"> or they will help you find an answer.</w:t>
      </w:r>
    </w:p>
    <w:p w14:paraId="1443F67C" w14:textId="77777777" w:rsidR="00855A9D" w:rsidRDefault="00855A9D" w:rsidP="008C566E">
      <w:pPr>
        <w:pStyle w:val="BodyText"/>
      </w:pPr>
    </w:p>
    <w:p w14:paraId="0E53BA28" w14:textId="77777777" w:rsidR="00855A9D" w:rsidRDefault="008C566E" w:rsidP="008C566E">
      <w:pPr>
        <w:pStyle w:val="Heading2"/>
        <w:spacing w:before="1"/>
        <w:ind w:left="1199" w:right="1217"/>
        <w:jc w:val="left"/>
        <w:rPr>
          <w:b w:val="0"/>
        </w:rPr>
      </w:pPr>
      <w:r>
        <w:t xml:space="preserve">Monday through Friday 6:00 AM- 6:00 PM Mountain, Pacific and Alaska Standard Time Phone:  </w:t>
      </w:r>
      <w:r>
        <w:rPr>
          <w:b w:val="0"/>
        </w:rPr>
        <w:t>866-468-7272</w:t>
      </w:r>
    </w:p>
    <w:p w14:paraId="3D195278" w14:textId="77777777" w:rsidR="00855A9D" w:rsidRDefault="008C566E" w:rsidP="008C566E">
      <w:pPr>
        <w:ind w:left="1198" w:right="1217"/>
      </w:pPr>
      <w:r>
        <w:rPr>
          <w:b/>
        </w:rPr>
        <w:t xml:space="preserve">Email: </w:t>
      </w:r>
      <w:hyperlink r:id="rId12">
        <w:r>
          <w:t>brcwest@usi.com</w:t>
        </w:r>
      </w:hyperlink>
    </w:p>
    <w:p w14:paraId="0F7D9971" w14:textId="77777777" w:rsidR="00855A9D" w:rsidRDefault="00855A9D" w:rsidP="008C566E">
      <w:pPr>
        <w:pStyle w:val="BodyText"/>
      </w:pPr>
    </w:p>
    <w:p w14:paraId="60744157" w14:textId="77777777" w:rsidR="00855A9D" w:rsidRDefault="008C566E" w:rsidP="008C566E">
      <w:pPr>
        <w:pStyle w:val="Heading1"/>
        <w:spacing w:before="1"/>
      </w:pPr>
      <w:r>
        <w:rPr>
          <w:color w:val="535353"/>
        </w:rPr>
        <w:t>Questions</w:t>
      </w:r>
    </w:p>
    <w:p w14:paraId="66FB96C5" w14:textId="77777777" w:rsidR="00855A9D" w:rsidRDefault="008C566E" w:rsidP="008C566E">
      <w:pPr>
        <w:pStyle w:val="BodyText"/>
        <w:ind w:left="119"/>
      </w:pPr>
      <w:r>
        <w:t>If you have questions in the meantime</w:t>
      </w:r>
      <w:r>
        <w:t xml:space="preserve">, contact Ani Geragosian at 206-430-5032 or via e-mail at </w:t>
      </w:r>
      <w:hyperlink r:id="rId13">
        <w:r>
          <w:t>ani@neiders.com.</w:t>
        </w:r>
      </w:hyperlink>
    </w:p>
    <w:sectPr w:rsidR="00855A9D">
      <w:pgSz w:w="12240" w:h="15840"/>
      <w:pgMar w:top="1320" w:right="940" w:bottom="680" w:left="960" w:header="0" w:footer="4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F1BD2" w14:textId="77777777" w:rsidR="00000000" w:rsidRDefault="008C566E">
      <w:r>
        <w:separator/>
      </w:r>
    </w:p>
  </w:endnote>
  <w:endnote w:type="continuationSeparator" w:id="0">
    <w:p w14:paraId="29BF8585" w14:textId="77777777" w:rsidR="00000000" w:rsidRDefault="008C5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45F75" w14:textId="21EAF18A" w:rsidR="00855A9D" w:rsidRDefault="008C566E">
    <w:pPr>
      <w:pStyle w:val="BodyText"/>
      <w:spacing w:line="14" w:lineRule="auto"/>
      <w:rPr>
        <w:sz w:val="20"/>
      </w:rPr>
    </w:pPr>
    <w:r>
      <w:rPr>
        <w:noProof/>
      </w:rPr>
      <mc:AlternateContent>
        <mc:Choice Requires="wps">
          <w:drawing>
            <wp:anchor distT="0" distB="0" distL="114300" distR="114300" simplePos="0" relativeHeight="251553792" behindDoc="1" locked="0" layoutInCell="1" allowOverlap="1" wp14:anchorId="400F2873" wp14:editId="3B2552EC">
              <wp:simplePos x="0" y="0"/>
              <wp:positionH relativeFrom="page">
                <wp:posOffset>667385</wp:posOffset>
              </wp:positionH>
              <wp:positionV relativeFrom="page">
                <wp:posOffset>9578340</wp:posOffset>
              </wp:positionV>
              <wp:extent cx="643763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A1CC7" id="Line 2" o:spid="_x0000_s1026" style="position:absolute;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754.2pt" to="559.45pt,7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" strokecolor="#d9d9d9" strokeweight=".48pt">
              <w10:wrap anchorx="page" anchory="page"/>
            </v:line>
          </w:pict>
        </mc:Fallback>
      </mc:AlternateContent>
    </w:r>
    <w:r>
      <w:rPr>
        <w:noProof/>
      </w:rPr>
      <mc:AlternateContent>
        <mc:Choice Requires="wps">
          <w:drawing>
            <wp:anchor distT="0" distB="0" distL="114300" distR="114300" simplePos="0" relativeHeight="251554816" behindDoc="1" locked="0" layoutInCell="1" allowOverlap="1" wp14:anchorId="208F9108" wp14:editId="69ECE0AC">
              <wp:simplePos x="0" y="0"/>
              <wp:positionH relativeFrom="page">
                <wp:posOffset>6464935</wp:posOffset>
              </wp:positionH>
              <wp:positionV relativeFrom="page">
                <wp:posOffset>9606280</wp:posOffset>
              </wp:positionV>
              <wp:extent cx="59563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B9DCC" w14:textId="77777777" w:rsidR="00855A9D" w:rsidRDefault="008C566E">
                          <w:pPr>
                            <w:spacing w:line="223" w:lineRule="exact"/>
                            <w:ind w:left="60"/>
                            <w:rPr>
                              <w:sz w:val="20"/>
                            </w:rPr>
                          </w:pPr>
                          <w:r>
                            <w:fldChar w:fldCharType="begin"/>
                          </w:r>
                          <w:r>
                            <w:rPr>
                              <w:b/>
                              <w:color w:val="767676"/>
                              <w:sz w:val="20"/>
                            </w:rPr>
                            <w:instrText xml:space="preserve"> PAGE </w:instrText>
                          </w:r>
                          <w:r>
                            <w:fldChar w:fldCharType="separate"/>
                          </w:r>
                          <w:r>
                            <w:t>1</w:t>
                          </w:r>
                          <w:r>
                            <w:fldChar w:fldCharType="end"/>
                          </w:r>
                          <w:r>
                            <w:rPr>
                              <w:b/>
                              <w:color w:val="767676"/>
                              <w:sz w:val="20"/>
                            </w:rPr>
                            <w:t xml:space="preserve"> | </w:t>
                          </w:r>
                          <w:r>
                            <w:rPr>
                              <w:color w:val="C4C4C4"/>
                              <w:sz w:val="20"/>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F9108" id="_x0000_t202" coordsize="21600,21600" o:spt="202" path="m,l,21600r21600,l21600,xe">
              <v:stroke joinstyle="miter"/>
              <v:path gradientshapeok="t" o:connecttype="rect"/>
            </v:shapetype>
            <v:shape id="Text Box 1" o:spid="_x0000_s1026" type="#_x0000_t202" style="position:absolute;margin-left:509.05pt;margin-top:756.4pt;width:46.9pt;height:12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" filled="f" stroked="f">
              <v:textbox inset="0,0,0,0">
                <w:txbxContent>
                  <w:p w14:paraId="3EBB9DCC" w14:textId="77777777" w:rsidR="00855A9D" w:rsidRDefault="008C566E">
                    <w:pPr>
                      <w:spacing w:line="223" w:lineRule="exact"/>
                      <w:ind w:left="60"/>
                      <w:rPr>
                        <w:sz w:val="20"/>
                      </w:rPr>
                    </w:pPr>
                    <w:r>
                      <w:fldChar w:fldCharType="begin"/>
                    </w:r>
                    <w:r>
                      <w:rPr>
                        <w:b/>
                        <w:color w:val="767676"/>
                        <w:sz w:val="20"/>
                      </w:rPr>
                      <w:instrText xml:space="preserve"> PAGE </w:instrText>
                    </w:r>
                    <w:r>
                      <w:fldChar w:fldCharType="separate"/>
                    </w:r>
                    <w:r>
                      <w:t>1</w:t>
                    </w:r>
                    <w:r>
                      <w:fldChar w:fldCharType="end"/>
                    </w:r>
                    <w:r>
                      <w:rPr>
                        <w:b/>
                        <w:color w:val="767676"/>
                        <w:sz w:val="20"/>
                      </w:rPr>
                      <w:t xml:space="preserve"> | </w:t>
                    </w:r>
                    <w:r>
                      <w:rPr>
                        <w:color w:val="C4C4C4"/>
                        <w:sz w:val="20"/>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0BDBB" w14:textId="77777777" w:rsidR="00000000" w:rsidRDefault="008C566E">
      <w:r>
        <w:separator/>
      </w:r>
    </w:p>
  </w:footnote>
  <w:footnote w:type="continuationSeparator" w:id="0">
    <w:p w14:paraId="6C20E167" w14:textId="77777777" w:rsidR="00000000" w:rsidRDefault="008C5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D5928"/>
    <w:multiLevelType w:val="hybridMultilevel"/>
    <w:tmpl w:val="5D76D17A"/>
    <w:lvl w:ilvl="0" w:tplc="F31E850E">
      <w:numFmt w:val="bullet"/>
      <w:lvlText w:val=""/>
      <w:lvlJc w:val="left"/>
      <w:pPr>
        <w:ind w:left="839" w:hanging="360"/>
      </w:pPr>
      <w:rPr>
        <w:rFonts w:ascii="Symbol" w:eastAsia="Symbol" w:hAnsi="Symbol" w:cs="Symbol" w:hint="default"/>
        <w:w w:val="100"/>
        <w:sz w:val="22"/>
        <w:szCs w:val="22"/>
      </w:rPr>
    </w:lvl>
    <w:lvl w:ilvl="1" w:tplc="D73211A2">
      <w:numFmt w:val="bullet"/>
      <w:lvlText w:val="•"/>
      <w:lvlJc w:val="left"/>
      <w:pPr>
        <w:ind w:left="1790" w:hanging="360"/>
      </w:pPr>
      <w:rPr>
        <w:rFonts w:hint="default"/>
      </w:rPr>
    </w:lvl>
    <w:lvl w:ilvl="2" w:tplc="EDFA55FC">
      <w:numFmt w:val="bullet"/>
      <w:lvlText w:val="•"/>
      <w:lvlJc w:val="left"/>
      <w:pPr>
        <w:ind w:left="2740" w:hanging="360"/>
      </w:pPr>
      <w:rPr>
        <w:rFonts w:hint="default"/>
      </w:rPr>
    </w:lvl>
    <w:lvl w:ilvl="3" w:tplc="316693C0">
      <w:numFmt w:val="bullet"/>
      <w:lvlText w:val="•"/>
      <w:lvlJc w:val="left"/>
      <w:pPr>
        <w:ind w:left="3690" w:hanging="360"/>
      </w:pPr>
      <w:rPr>
        <w:rFonts w:hint="default"/>
      </w:rPr>
    </w:lvl>
    <w:lvl w:ilvl="4" w:tplc="B36CB1B4">
      <w:numFmt w:val="bullet"/>
      <w:lvlText w:val="•"/>
      <w:lvlJc w:val="left"/>
      <w:pPr>
        <w:ind w:left="4640" w:hanging="360"/>
      </w:pPr>
      <w:rPr>
        <w:rFonts w:hint="default"/>
      </w:rPr>
    </w:lvl>
    <w:lvl w:ilvl="5" w:tplc="D1D8F136">
      <w:numFmt w:val="bullet"/>
      <w:lvlText w:val="•"/>
      <w:lvlJc w:val="left"/>
      <w:pPr>
        <w:ind w:left="5590" w:hanging="360"/>
      </w:pPr>
      <w:rPr>
        <w:rFonts w:hint="default"/>
      </w:rPr>
    </w:lvl>
    <w:lvl w:ilvl="6" w:tplc="55A890C8">
      <w:numFmt w:val="bullet"/>
      <w:lvlText w:val="•"/>
      <w:lvlJc w:val="left"/>
      <w:pPr>
        <w:ind w:left="6540" w:hanging="360"/>
      </w:pPr>
      <w:rPr>
        <w:rFonts w:hint="default"/>
      </w:rPr>
    </w:lvl>
    <w:lvl w:ilvl="7" w:tplc="E85A80D8">
      <w:numFmt w:val="bullet"/>
      <w:lvlText w:val="•"/>
      <w:lvlJc w:val="left"/>
      <w:pPr>
        <w:ind w:left="7490" w:hanging="360"/>
      </w:pPr>
      <w:rPr>
        <w:rFonts w:hint="default"/>
      </w:rPr>
    </w:lvl>
    <w:lvl w:ilvl="8" w:tplc="5B202F48">
      <w:numFmt w:val="bullet"/>
      <w:lvlText w:val="•"/>
      <w:lvlJc w:val="left"/>
      <w:pPr>
        <w:ind w:left="84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A9D"/>
    <w:rsid w:val="00855A9D"/>
    <w:rsid w:val="008C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58FFFF"/>
  <w15:docId w15:val="{15C0B68A-2C1D-45B9-B3F5-99A7BA1E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293" w:lineRule="exact"/>
      <w:ind w:left="119"/>
      <w:outlineLvl w:val="0"/>
    </w:pPr>
    <w:rPr>
      <w:b/>
      <w:bCs/>
      <w:sz w:val="24"/>
      <w:szCs w:val="24"/>
    </w:rPr>
  </w:style>
  <w:style w:type="paragraph" w:styleId="Heading2">
    <w:name w:val="heading 2"/>
    <w:basedOn w:val="Normal"/>
    <w:uiPriority w:val="9"/>
    <w:unhideWhenUsed/>
    <w:qFormat/>
    <w:pPr>
      <w:ind w:left="12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8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i@neider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rcwest@usi.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40BCBFE9CE754C8A8CF21A851B62CC" ma:contentTypeVersion="12" ma:contentTypeDescription="Create a new document." ma:contentTypeScope="" ma:versionID="7ae5388ba0b6a80bb933cd2a9b8a6dc8">
  <xsd:schema xmlns:xsd="http://www.w3.org/2001/XMLSchema" xmlns:xs="http://www.w3.org/2001/XMLSchema" xmlns:p="http://schemas.microsoft.com/office/2006/metadata/properties" xmlns:ns2="2cc9a607-8fa2-4332-b06b-66520dffcfbd" xmlns:ns3="718c89d4-4bda-41aa-a9de-4e824a4de0cc" targetNamespace="http://schemas.microsoft.com/office/2006/metadata/properties" ma:root="true" ma:fieldsID="22f11af71f9bb2ea472543746f1a756c" ns2:_="" ns3:_="">
    <xsd:import namespace="2cc9a607-8fa2-4332-b06b-66520dffcfbd"/>
    <xsd:import namespace="718c89d4-4bda-41aa-a9de-4e824a4de0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9a607-8fa2-4332-b06b-66520dffcf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8c89d4-4bda-41aa-a9de-4e824a4de0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F1BC42-BB19-484C-A7F7-BB3DA50400CE}"/>
</file>

<file path=customXml/itemProps2.xml><?xml version="1.0" encoding="utf-8"?>
<ds:datastoreItem xmlns:ds="http://schemas.openxmlformats.org/officeDocument/2006/customXml" ds:itemID="{F2367300-7D00-441B-8907-145678710C8A}">
  <ds:schemaRefs>
    <ds:schemaRef ds:uri="http://schemas.microsoft.com/sharepoint/v3/contenttype/forms"/>
  </ds:schemaRefs>
</ds:datastoreItem>
</file>

<file path=customXml/itemProps3.xml><?xml version="1.0" encoding="utf-8"?>
<ds:datastoreItem xmlns:ds="http://schemas.openxmlformats.org/officeDocument/2006/customXml" ds:itemID="{1332508A-364C-4F56-94B5-BB7C8450B2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815</Words>
  <Characters>4648</Characters>
  <Application>Microsoft Office Word</Application>
  <DocSecurity>4</DocSecurity>
  <Lines>38</Lines>
  <Paragraphs>10</Paragraphs>
  <ScaleCrop>false</ScaleCrop>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Neiders OE 2020-21 Memo DRAFT</dc:title>
  <dc:creator>usi</dc:creator>
  <cp:lastModifiedBy>Ani Geragosian</cp:lastModifiedBy>
  <cp:revision>2</cp:revision>
  <dcterms:created xsi:type="dcterms:W3CDTF">2020-08-08T16:23:00Z</dcterms:created>
  <dcterms:modified xsi:type="dcterms:W3CDTF">2020-08-08T16:23:00Z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2020-08-07T00:00:00Z</vt:filetime>
  </property>
  <property fmtid="{D5CDD505-2E9C-101B-9397-08002B2CF9AE}" pid="3" name="Creator">
    <vt:lpwstr>Nitro Pro 12 (12.16.3.574)</vt:lpwstr>
  </property>
  <property fmtid="{D5CDD505-2E9C-101B-9397-08002B2CF9AE}" pid="4" name="LastSaved">
    <vt:filetime>2020-08-07T00:00:00Z</vt:filetime>
  </property>
  <property fmtid="{D5CDD505-2E9C-101B-9397-08002B2CF9AE}" pid="5" name="ContentTypeId">
    <vt:lpwstr>0x0101009A40BCBFE9CE754C8A8CF21A851B62CC</vt:lpwstr>
  </property>
</Properties>
</file>